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มาตรฐานการศึกษาของสถานศึกษาแนบท้ายประกาศโรงเรียนมัธยมภู</w:t>
      </w:r>
      <w:proofErr w:type="spellStart"/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ฮังพัฒนวิทย์</w:t>
      </w:r>
      <w:proofErr w:type="spellEnd"/>
    </w:p>
    <w:p w:rsidR="00BC6B78" w:rsidRPr="00BC6B78" w:rsidRDefault="00BC6B78" w:rsidP="00BC6B78">
      <w:pPr>
        <w:spacing w:after="0" w:line="240" w:lineRule="auto"/>
        <w:jc w:val="center"/>
        <w:rPr>
          <w:rFonts w:ascii="TH SarabunPSK" w:eastAsia="AngsanaNew-Bold" w:hAnsi="TH SarabunPSK" w:cs="TH SarabunPSK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เรื่อง  </w:t>
      </w:r>
      <w:r w:rsidRPr="00BC6B78">
        <w:rPr>
          <w:rFonts w:ascii="TH SarabunPSK" w:eastAsia="AngsanaNew-Bold" w:hAnsi="TH SarabunPSK" w:cs="TH SarabunPSK" w:hint="cs"/>
          <w:sz w:val="26"/>
          <w:szCs w:val="26"/>
          <w:cs/>
        </w:rPr>
        <w:t>การใช้มาตรฐานการศึกษาของสถานศึกษา  ระดับการศึกษาขั้นพื้นฐาน</w:t>
      </w:r>
    </w:p>
    <w:p w:rsidR="00BC6B78" w:rsidRPr="00BC6B78" w:rsidRDefault="00BC6B78" w:rsidP="00BC6B78">
      <w:pPr>
        <w:spacing w:after="0" w:line="240" w:lineRule="auto"/>
        <w:jc w:val="center"/>
        <w:rPr>
          <w:rFonts w:ascii="TH SarabunPSK" w:eastAsia="AngsanaNew-Bold" w:hAnsi="TH SarabunPSK" w:cs="TH SarabunPSK"/>
          <w:sz w:val="26"/>
          <w:szCs w:val="26"/>
        </w:rPr>
      </w:pPr>
      <w:r w:rsidRPr="00BC6B78">
        <w:rPr>
          <w:rFonts w:ascii="TH SarabunPSK" w:eastAsia="AngsanaNew-Bold" w:hAnsi="TH SarabunPSK" w:cs="TH SarabunPSK" w:hint="cs"/>
          <w:sz w:val="26"/>
          <w:szCs w:val="26"/>
          <w:cs/>
        </w:rPr>
        <w:t>เพื่อการประกันคุณภาพภายในของสถานศึกษา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..................................................................................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  <w:t xml:space="preserve">มาตรฐานการศึกษาขั้นพื้นฐาน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เพื่อการประกันคุณภาพภายในของสถานศึกษา พ.ศ. ๒๕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๖๑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 w:hint="cs"/>
          <w:color w:val="1D2129"/>
          <w:sz w:val="26"/>
          <w:szCs w:val="26"/>
          <w:cs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มีจำนวน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๓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มาตรฐาน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 คือ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  <w:t>มาตรฐานที่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 ๑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คุณภาพของผู้เรียน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     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๑.๑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ผลสัมฤทธิ์ทางวิชาการของผู้เรียน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ab/>
        <w:t xml:space="preserve">              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๑.๒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คุณลักษณะที่พึงประสงค์ของผู้เรียน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  <w:t>มาตรฐานที่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 ๒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กระบวนการบริหารและการจัดการ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  <w:t xml:space="preserve">มาตรฐานที่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๓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กระบวนการจัดการเรียนการสอนที่เน้นผู้เรียนเป็นสำคัญ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26"/>
          <w:szCs w:val="26"/>
        </w:rPr>
      </w:pPr>
      <w:r w:rsidRPr="00BC6B78">
        <w:rPr>
          <w:rFonts w:ascii="TH SarabunPSK" w:hAnsi="TH SarabunPSK" w:cs="TH SarabunPSK"/>
          <w:b/>
          <w:bCs/>
          <w:sz w:val="26"/>
          <w:szCs w:val="26"/>
          <w:cs/>
        </w:rPr>
        <w:t>มาตรฐานที่ ๑  คุณภาพของผู้เรียน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b/>
          <w:bCs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๑.๑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 xml:space="preserve">ผลสัมฤทธิ์ทางวิชาการของผู้เรียน 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๑)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มี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ความสามารถในการอ่าน เขียน การสื่อสาร และการคิดคำนวณ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๒)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มี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ความสามารถในการคิดวิเคราะห์ คิด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อย่างมี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วิจารณญาณ อภิปราย  แลกเปลี่ยนความ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                  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คิดเห็นและแก้ปัญหา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๓)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มี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ความสามารถในการ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สร้างนวัตกรรม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ab/>
        <w:t xml:space="preserve">    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๔)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มีความสามารถในการใช้เทคโนโลยีสารสนเทศและการสื่อสาร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๕)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มี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>ผลสัมฤทธิ์ทางการเรียน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ตามหลักสูตรสถานศึกษา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  <w:cs/>
        </w:rPr>
      </w:pP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color w:val="1D2129"/>
          <w:sz w:val="26"/>
          <w:szCs w:val="26"/>
          <w:cs/>
        </w:rPr>
        <w:t xml:space="preserve">๖)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มีความรู้  ทักษะพื้นฐาน  และเจตคติที่ดีต่องานอาชีพ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</w:rPr>
        <w:tab/>
        <w:t xml:space="preserve">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๑.๒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คุณลักษณะที่พึงประสงค์ของผู้เรียน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 xml:space="preserve">๑)  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การ</w:t>
      </w:r>
      <w:r w:rsidRPr="00BC6B78">
        <w:rPr>
          <w:rFonts w:ascii="TH SarabunPSK" w:hAnsi="TH SarabunPSK" w:cs="TH SarabunPSK"/>
          <w:sz w:val="26"/>
          <w:szCs w:val="26"/>
          <w:cs/>
        </w:rPr>
        <w:t xml:space="preserve">มีคุณลักษณะและค่านิยมที่ดีตามที่สถานศึกษากำหนด 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>๒)  ความภูมิใจในท้องถิ่นและความเป็นไทย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 xml:space="preserve">๓)  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การ</w:t>
      </w:r>
      <w:r w:rsidRPr="00BC6B78">
        <w:rPr>
          <w:rFonts w:ascii="TH SarabunPSK" w:hAnsi="TH SarabunPSK" w:cs="TH SarabunPSK"/>
          <w:sz w:val="26"/>
          <w:szCs w:val="26"/>
          <w:cs/>
        </w:rPr>
        <w:t>ยอมรับที่จะอยู่ร่วมกันบนความแตกต่างและความหลากหลาย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>๔)  สุขภาวะทางร่างกาย และจิตสังคม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C6B78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มาตรฐานที่ ๒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กระบวนการบริหารและการจัดการ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๒.</w:t>
      </w:r>
      <w:r w:rsidRPr="00BC6B78">
        <w:rPr>
          <w:rFonts w:ascii="TH SarabunPSK" w:hAnsi="TH SarabunPSK" w:cs="TH SarabunPSK"/>
          <w:sz w:val="26"/>
          <w:szCs w:val="26"/>
          <w:cs/>
        </w:rPr>
        <w:t>๑</w:t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BC6B78">
        <w:rPr>
          <w:rFonts w:ascii="TH SarabunPSK" w:hAnsi="TH SarabunPSK" w:cs="TH SarabunPSK"/>
          <w:sz w:val="26"/>
          <w:szCs w:val="26"/>
          <w:cs/>
        </w:rPr>
        <w:t>มีเป้าหมาย วิสัยทัศน์ และ</w:t>
      </w:r>
      <w:proofErr w:type="spellStart"/>
      <w:r w:rsidRPr="00BC6B78">
        <w:rPr>
          <w:rFonts w:ascii="TH SarabunPSK" w:hAnsi="TH SarabunPSK" w:cs="TH SarabunPSK"/>
          <w:sz w:val="26"/>
          <w:szCs w:val="26"/>
          <w:cs/>
        </w:rPr>
        <w:t>พันธ</w:t>
      </w:r>
      <w:proofErr w:type="spellEnd"/>
      <w:r w:rsidRPr="00BC6B78">
        <w:rPr>
          <w:rFonts w:ascii="TH SarabunPSK" w:hAnsi="TH SarabunPSK" w:cs="TH SarabunPSK"/>
          <w:sz w:val="26"/>
          <w:szCs w:val="26"/>
          <w:cs/>
        </w:rPr>
        <w:t xml:space="preserve">กิจ ที่สถานศึกษากำหนดชัดเจน 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>๒.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๒</w:t>
      </w:r>
      <w:r w:rsidRPr="00BC6B78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มีระบบบริหาร</w:t>
      </w:r>
      <w:r w:rsidRPr="00BC6B78">
        <w:rPr>
          <w:rFonts w:ascii="TH SarabunPSK" w:hAnsi="TH SarabunPSK" w:cs="TH SarabunPSK"/>
          <w:sz w:val="26"/>
          <w:szCs w:val="26"/>
          <w:cs/>
        </w:rPr>
        <w:t>จัดการ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คุณภาพ</w:t>
      </w:r>
      <w:r w:rsidRPr="00BC6B78">
        <w:rPr>
          <w:rFonts w:ascii="TH SarabunPSK" w:hAnsi="TH SarabunPSK" w:cs="TH SarabunPSK"/>
          <w:sz w:val="26"/>
          <w:szCs w:val="26"/>
          <w:cs/>
        </w:rPr>
        <w:t>ของสถานศึกษา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</w:rPr>
        <w:tab/>
        <w:t xml:space="preserve">    </w:t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๒.๓  ดำเนินงานพัฒนาวิชาการที่เน้นคุณภาพผู้เรียนรอบด้านตามหลักสูตรสถานศึกษาและทุก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                       กลุ่มเป้าหมาย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C6B78">
        <w:rPr>
          <w:rFonts w:ascii="TH SarabunPSK" w:hAnsi="TH SarabunPSK" w:cs="TH SarabunPSK"/>
          <w:sz w:val="26"/>
          <w:szCs w:val="26"/>
        </w:rPr>
        <w:tab/>
      </w:r>
      <w:r w:rsidRPr="00BC6B78">
        <w:rPr>
          <w:rFonts w:ascii="TH SarabunPSK" w:hAnsi="TH SarabunPSK" w:cs="TH SarabunPSK"/>
          <w:sz w:val="26"/>
          <w:szCs w:val="26"/>
        </w:rPr>
        <w:tab/>
        <w:t xml:space="preserve">   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๒.๔  พัฒนาครูและบุคลากรให้มีความเชี่ยวชาญทางวิชาชีพ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๒.๕  </w:t>
      </w:r>
      <w:r w:rsidRPr="00BC6B78">
        <w:rPr>
          <w:rFonts w:ascii="TH SarabunPSK" w:hAnsi="TH SarabunPSK" w:cs="TH SarabunPSK"/>
          <w:sz w:val="26"/>
          <w:szCs w:val="26"/>
          <w:cs/>
        </w:rPr>
        <w:t>จัดสภาพแวดล้อมทางกายภาพและสังคมที่เอื้อต่อการจัดการเรียนรู้</w:t>
      </w:r>
      <w:r w:rsidRPr="00BC6B78">
        <w:rPr>
          <w:rFonts w:ascii="TH SarabunPSK" w:hAnsi="TH SarabunPSK" w:cs="TH SarabunPSK" w:hint="cs"/>
          <w:sz w:val="26"/>
          <w:szCs w:val="26"/>
          <w:cs/>
        </w:rPr>
        <w:t>อ</w:t>
      </w:r>
      <w:r w:rsidRPr="00BC6B78">
        <w:rPr>
          <w:rFonts w:ascii="TH SarabunPSK" w:hAnsi="TH SarabunPSK" w:cs="TH SarabunPSK"/>
          <w:sz w:val="26"/>
          <w:szCs w:val="26"/>
          <w:cs/>
        </w:rPr>
        <w:t>ย่างมีคุณภาพ</w:t>
      </w:r>
    </w:p>
    <w:p w:rsidR="00BC6B78" w:rsidRPr="00BC6B78" w:rsidRDefault="00BC6B78" w:rsidP="00BC6B7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sz w:val="26"/>
          <w:szCs w:val="26"/>
          <w:cs/>
        </w:rPr>
        <w:t xml:space="preserve">   ๒.๖  จัดระบบเทคโนโลยีสารสนเทศเพื่อสนับสนุนการบริหารจัดการและการเรียนรู้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 xml:space="preserve">มาตรฐานที่ </w:t>
      </w:r>
      <w:r w:rsidRPr="00BC6B78">
        <w:rPr>
          <w:rFonts w:ascii="TH SarabunPSK" w:hAnsi="TH SarabunPSK" w:cs="TH SarabunPSK" w:hint="cs"/>
          <w:b/>
          <w:bCs/>
          <w:color w:val="1D2129"/>
          <w:sz w:val="26"/>
          <w:szCs w:val="26"/>
          <w:cs/>
        </w:rPr>
        <w:t xml:space="preserve">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๓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/>
          <w:b/>
          <w:bCs/>
          <w:color w:val="1D2129"/>
          <w:sz w:val="26"/>
          <w:szCs w:val="26"/>
          <w:cs/>
        </w:rPr>
        <w:t>กระบวนการจัดการเรียนการสอนที่เน้นผู้เรียนเป็นสำคัญ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/>
          <w:color w:val="1D2129"/>
          <w:sz w:val="26"/>
          <w:szCs w:val="26"/>
        </w:rPr>
        <w:tab/>
        <w:t xml:space="preserve">     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๓.๑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จัดการเรียนรู้ผ่านกระบวนการคิดและปฏิบัติจริงและสามารถนำไปประยุกต์ใช้ในชีวิตได้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  <w:t xml:space="preserve">      ๓.๒   ใช้สื่อ  เทคโนโลยีสารสนเทศ  และแหล่งเรียนรู้ที่เอื้อต่อการเรียนรู้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               </w:t>
      </w:r>
      <w:r w:rsidR="008C54A6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bookmarkStart w:id="0" w:name="_GoBack"/>
      <w:bookmarkEnd w:id="0"/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>๓.๓   มีการบริหารจัดการชั้นเรียนเชิงบวก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  <w:t xml:space="preserve">      ๓.๔   ตรวจสอบและประเมินผู้เรียนอย่างเป็นระบบ  และนำผลมาพัฒนาผู้เรียน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  <w:t xml:space="preserve">      ๓.๕   มีการแลกเปลี่ยนเรียนรู้และให้ข้อมูลสะท้อนกลับเพื่อพัฒนาและปรับปรุงการจัดการ</w:t>
      </w:r>
    </w:p>
    <w:p w:rsidR="00BC6B78" w:rsidRPr="00BC6B78" w:rsidRDefault="00BC6B78" w:rsidP="00BC6B78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26"/>
          <w:szCs w:val="26"/>
          <w:cs/>
        </w:rPr>
      </w:pP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 xml:space="preserve">   </w:t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</w:r>
      <w:r w:rsidRPr="00BC6B78">
        <w:rPr>
          <w:rFonts w:ascii="TH SarabunPSK" w:hAnsi="TH SarabunPSK" w:cs="TH SarabunPSK" w:hint="cs"/>
          <w:color w:val="1D2129"/>
          <w:sz w:val="26"/>
          <w:szCs w:val="26"/>
          <w:cs/>
        </w:rPr>
        <w:tab/>
        <w:t xml:space="preserve">  เรียนรู้</w:t>
      </w:r>
      <w:r w:rsidRPr="00BC6B78">
        <w:rPr>
          <w:rFonts w:ascii="TH SarabunPSK" w:hAnsi="TH SarabunPSK" w:cs="TH SarabunPSK"/>
          <w:color w:val="1D2129"/>
          <w:sz w:val="26"/>
          <w:szCs w:val="26"/>
        </w:rPr>
        <w:t xml:space="preserve"> </w:t>
      </w:r>
    </w:p>
    <w:p w:rsidR="00B25BBE" w:rsidRDefault="00B25BBE"/>
    <w:sectPr w:rsidR="00B2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78"/>
    <w:rsid w:val="008C54A6"/>
    <w:rsid w:val="00B25BBE"/>
    <w:rsid w:val="00B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7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7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B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 IT</dc:creator>
  <cp:lastModifiedBy>advance IT</cp:lastModifiedBy>
  <cp:revision>2</cp:revision>
  <cp:lastPrinted>2019-03-18T06:47:00Z</cp:lastPrinted>
  <dcterms:created xsi:type="dcterms:W3CDTF">2019-03-18T06:45:00Z</dcterms:created>
  <dcterms:modified xsi:type="dcterms:W3CDTF">2019-03-18T06:49:00Z</dcterms:modified>
</cp:coreProperties>
</file>