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88" w:rsidRPr="001B28EE" w:rsidRDefault="004A6E88" w:rsidP="004A6E88">
      <w:pPr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B28E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ผลสัมฤทธิ์ทางการเรียนเทียบปีการศึกษา </w:t>
      </w:r>
      <w:r w:rsidRPr="001B28EE">
        <w:rPr>
          <w:rFonts w:asciiTheme="majorBidi" w:hAnsiTheme="majorBidi" w:cstheme="majorBidi"/>
          <w:b/>
          <w:bCs/>
          <w:sz w:val="36"/>
          <w:szCs w:val="36"/>
        </w:rPr>
        <w:t>2556-2557</w:t>
      </w:r>
      <w:r w:rsidRPr="001B28E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1B28EE">
        <w:rPr>
          <w:rFonts w:asciiTheme="majorBidi" w:hAnsiTheme="majorBidi" w:cstheme="majorBidi"/>
          <w:b/>
          <w:bCs/>
          <w:sz w:val="36"/>
          <w:szCs w:val="36"/>
        </w:rPr>
        <w:t>O-net</w:t>
      </w:r>
    </w:p>
    <w:p w:rsidR="004A6E88" w:rsidRPr="001B28EE" w:rsidRDefault="004A6E88" w:rsidP="004A6E8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B28EE">
        <w:rPr>
          <w:rFonts w:asciiTheme="majorBidi" w:hAnsiTheme="majorBidi" w:cstheme="majorBidi"/>
          <w:b/>
          <w:bCs/>
          <w:sz w:val="32"/>
          <w:szCs w:val="32"/>
          <w:cs/>
        </w:rPr>
        <w:t>นักเรียนมีผลสัมฤทธิ์ทางการเรียน (</w:t>
      </w:r>
      <w:r w:rsidRPr="001B28EE">
        <w:rPr>
          <w:rFonts w:asciiTheme="majorBidi" w:hAnsiTheme="majorBidi" w:cstheme="majorBidi"/>
          <w:b/>
          <w:bCs/>
          <w:sz w:val="32"/>
          <w:szCs w:val="32"/>
        </w:rPr>
        <w:t>O-net</w:t>
      </w:r>
      <w:r w:rsidRPr="001B28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สูงขึ้นอย่างร้อยละ </w:t>
      </w:r>
      <w:r w:rsidRPr="001B28EE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</w:p>
    <w:p w:rsidR="004A6E88" w:rsidRPr="001B28EE" w:rsidRDefault="004A6E88" w:rsidP="004A6E88">
      <w:pPr>
        <w:autoSpaceDE w:val="0"/>
        <w:autoSpaceDN w:val="0"/>
        <w:adjustRightInd w:val="0"/>
        <w:ind w:left="1276" w:hanging="1276"/>
        <w:rPr>
          <w:rFonts w:asciiTheme="majorBidi" w:hAnsiTheme="majorBidi" w:cstheme="majorBidi"/>
          <w:sz w:val="32"/>
          <w:szCs w:val="32"/>
        </w:rPr>
      </w:pPr>
      <w:r w:rsidRPr="001B28EE">
        <w:rPr>
          <w:rFonts w:asciiTheme="majorBidi" w:hAnsiTheme="majorBidi" w:cstheme="majorBidi"/>
          <w:sz w:val="32"/>
          <w:szCs w:val="32"/>
          <w:cs/>
        </w:rPr>
        <w:t>เปรียบเทียบผลทดสอบระดับชาติ (</w:t>
      </w:r>
      <w:r w:rsidRPr="001B28EE">
        <w:rPr>
          <w:rFonts w:asciiTheme="majorBidi" w:hAnsiTheme="majorBidi" w:cstheme="majorBidi"/>
          <w:sz w:val="32"/>
          <w:szCs w:val="32"/>
        </w:rPr>
        <w:t>O-NET)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ระดับชั้นมัธยมศึกษาปีที่ 3 ระหว่าง 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6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และ 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7</w:t>
      </w:r>
    </w:p>
    <w:tbl>
      <w:tblPr>
        <w:tblW w:w="9378" w:type="dxa"/>
        <w:tblInd w:w="108" w:type="dxa"/>
        <w:tblBorders>
          <w:top w:val="single" w:sz="4" w:space="0" w:color="000000"/>
          <w:bottom w:val="single" w:sz="8" w:space="0" w:color="000000"/>
          <w:insideH w:val="dashSmallGap" w:sz="4" w:space="0" w:color="auto"/>
          <w:insideV w:val="single" w:sz="4" w:space="0" w:color="000000"/>
        </w:tblBorders>
        <w:tblLayout w:type="fixed"/>
        <w:tblLook w:val="0000"/>
      </w:tblPr>
      <w:tblGrid>
        <w:gridCol w:w="3078"/>
        <w:gridCol w:w="1080"/>
        <w:gridCol w:w="1068"/>
        <w:gridCol w:w="1041"/>
        <w:gridCol w:w="1041"/>
        <w:gridCol w:w="1035"/>
        <w:gridCol w:w="1035"/>
      </w:tblGrid>
      <w:tr w:rsidR="004A6E88" w:rsidRPr="001B28EE" w:rsidTr="00D16CA9">
        <w:trPr>
          <w:trHeight w:val="1"/>
        </w:trPr>
        <w:tc>
          <w:tcPr>
            <w:tcW w:w="307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1068" w:type="dxa"/>
            <w:tcBorders>
              <w:top w:val="single" w:sz="4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32.12</w:t>
            </w:r>
          </w:p>
        </w:tc>
        <w:tc>
          <w:tcPr>
            <w:tcW w:w="1041" w:type="dxa"/>
            <w:tcBorders>
              <w:top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-5.66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14.98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21.66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22.66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+1.00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4.61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31.76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33.25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+1.49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4.69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35.20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41.77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+6.57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18.66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สุขศึกษา และพลศึกษา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52.16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56.65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+4.49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8.60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ศิลปะ</w:t>
            </w:r>
            <w:r w:rsidRPr="001B28EE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39.46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43.40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+3.94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9.98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38.59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41.92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+3.33</w:t>
            </w:r>
          </w:p>
        </w:tc>
        <w:tc>
          <w:tcPr>
            <w:tcW w:w="1041" w:type="dxa"/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8.62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26.39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25.81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-0.58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2.19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BFBFB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BFBFBF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0.86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</w:rPr>
              <w:t>2.90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D9D9D9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D9D9D9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A6E88" w:rsidRPr="001B28EE" w:rsidRDefault="004A6E88" w:rsidP="004A6E88">
      <w:pPr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B28EE">
        <w:rPr>
          <w:rFonts w:asciiTheme="majorBidi" w:hAnsiTheme="majorBidi" w:cstheme="majorBidi"/>
          <w:sz w:val="32"/>
          <w:szCs w:val="32"/>
        </w:rPr>
        <w:tab/>
      </w:r>
      <w:r w:rsidRPr="001B28EE">
        <w:rPr>
          <w:rFonts w:asciiTheme="majorBidi" w:hAnsiTheme="majorBidi" w:cstheme="majorBidi"/>
          <w:sz w:val="32"/>
          <w:szCs w:val="32"/>
          <w:cs/>
        </w:rPr>
        <w:t>พบว่า  ผลการเปรียบเทียบคะแนนการทดสอบระดับชาติ (</w:t>
      </w:r>
      <w:r w:rsidRPr="001B28EE">
        <w:rPr>
          <w:rFonts w:asciiTheme="majorBidi" w:hAnsiTheme="majorBidi" w:cstheme="majorBidi"/>
          <w:sz w:val="32"/>
          <w:szCs w:val="32"/>
        </w:rPr>
        <w:t xml:space="preserve">O-NET) </w:t>
      </w:r>
      <w:r w:rsidRPr="001B28EE">
        <w:rPr>
          <w:rFonts w:asciiTheme="majorBidi" w:hAnsiTheme="majorBidi" w:cstheme="majorBidi"/>
          <w:sz w:val="32"/>
          <w:szCs w:val="32"/>
          <w:cs/>
        </w:rPr>
        <w:t>ระหว่างปีการศึกษา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6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และ 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7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โดยรวม</w:t>
      </w:r>
      <w:r w:rsidRPr="001B28EE">
        <w:rPr>
          <w:rFonts w:asciiTheme="majorBidi" w:hAnsiTheme="majorBidi" w:cstheme="majorBidi"/>
          <w:sz w:val="32"/>
          <w:szCs w:val="32"/>
        </w:rPr>
        <w:t xml:space="preserve"> 8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กลุ่มสาระเพิ่มขึ้น 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2.90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กลุ่มสาระการเรียนรู้ที่มีระดับผลคะแนนเพิ่มขึ้นจำนวน </w:t>
      </w:r>
      <w:r w:rsidRPr="001B28EE">
        <w:rPr>
          <w:rFonts w:asciiTheme="majorBidi" w:hAnsiTheme="majorBidi" w:cstheme="majorBidi"/>
          <w:sz w:val="32"/>
          <w:szCs w:val="32"/>
        </w:rPr>
        <w:t xml:space="preserve">6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 มากที่สุดคือ กลุ่มสาระการเรียนรู้สังคมศึกษา ศาสนาและวัฒนธรรม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>18.66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 รองลงมากลุ่มสาระการเรียนรู้สุขศึกษา และพลศึกษา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>8.60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กลุ่มสาระการเรียนรู้ศิลปะฯ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9.98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กลุ่มสาระการเรียนรู้การงานอาชีพและเทคโนโลยี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>8.62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กลุ่มสาระการเรียนรู้วิทยาศาสตร์  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4.69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และกลุ่มสาระการเรียนรู้คณิตศาสตร์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>4.61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B28EE">
        <w:rPr>
          <w:rFonts w:asciiTheme="majorBidi" w:hAnsiTheme="majorBidi" w:cstheme="majorBidi"/>
          <w:sz w:val="32"/>
          <w:szCs w:val="32"/>
        </w:rPr>
        <w:t>*</w:t>
      </w:r>
      <w:r w:rsidRPr="001B28EE">
        <w:rPr>
          <w:rFonts w:asciiTheme="majorBidi" w:hAnsiTheme="majorBidi" w:cstheme="majorBidi"/>
          <w:sz w:val="32"/>
          <w:szCs w:val="32"/>
          <w:cs/>
        </w:rPr>
        <w:t>โดยเฉพาะกลุ่มสาระการเรียนรู้ศิลปะฯ มีคะแนนสอบสูงกว่าคะแนนมาตรฐานระดับประเทศ(</w:t>
      </w:r>
      <w:r w:rsidRPr="001B28EE">
        <w:rPr>
          <w:rFonts w:asciiTheme="majorBidi" w:hAnsiTheme="majorBidi" w:cstheme="majorBidi"/>
          <w:sz w:val="32"/>
          <w:szCs w:val="32"/>
        </w:rPr>
        <w:t>43.14/43.40</w:t>
      </w:r>
      <w:r w:rsidRPr="001B28EE">
        <w:rPr>
          <w:rFonts w:asciiTheme="majorBidi" w:hAnsiTheme="majorBidi" w:cstheme="majorBidi"/>
          <w:sz w:val="32"/>
          <w:szCs w:val="32"/>
          <w:cs/>
        </w:rPr>
        <w:t>)</w:t>
      </w:r>
    </w:p>
    <w:p w:rsidR="004A6E88" w:rsidRPr="001B28EE" w:rsidRDefault="004A6E88" w:rsidP="004A6E88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ind w:left="1276" w:hanging="1276"/>
        <w:rPr>
          <w:rFonts w:asciiTheme="majorBidi" w:hAnsiTheme="majorBidi" w:cstheme="majorBidi"/>
          <w:sz w:val="32"/>
          <w:szCs w:val="32"/>
        </w:rPr>
      </w:pPr>
      <w:r w:rsidRPr="001B28EE">
        <w:rPr>
          <w:rFonts w:asciiTheme="majorBidi" w:hAnsiTheme="majorBidi" w:cstheme="majorBidi"/>
          <w:sz w:val="32"/>
          <w:szCs w:val="32"/>
          <w:cs/>
        </w:rPr>
        <w:t>การเปรียบเทียบผลทดสอบระดับชาติ (</w:t>
      </w:r>
      <w:r w:rsidRPr="001B28EE">
        <w:rPr>
          <w:rFonts w:asciiTheme="majorBidi" w:hAnsiTheme="majorBidi" w:cstheme="majorBidi"/>
          <w:sz w:val="32"/>
          <w:szCs w:val="32"/>
        </w:rPr>
        <w:t>O-NET)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ระดับชั้นมัธยมศึกษาปีที่ 6 ระหว่าง 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6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และ 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7</w:t>
      </w:r>
    </w:p>
    <w:p w:rsidR="004A6E88" w:rsidRPr="001B28EE" w:rsidRDefault="004A6E88" w:rsidP="004A6E88">
      <w:pPr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9378" w:type="dxa"/>
        <w:tblInd w:w="108" w:type="dxa"/>
        <w:tblLayout w:type="fixed"/>
        <w:tblLook w:val="0000"/>
      </w:tblPr>
      <w:tblGrid>
        <w:gridCol w:w="3078"/>
        <w:gridCol w:w="1080"/>
        <w:gridCol w:w="1068"/>
        <w:gridCol w:w="1041"/>
        <w:gridCol w:w="1041"/>
        <w:gridCol w:w="1035"/>
        <w:gridCol w:w="1035"/>
      </w:tblGrid>
      <w:tr w:rsidR="004A6E88" w:rsidRPr="001B28EE" w:rsidTr="00D16CA9">
        <w:trPr>
          <w:trHeight w:val="1"/>
        </w:trPr>
        <w:tc>
          <w:tcPr>
            <w:tcW w:w="30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single" w:sz="4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39.30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45.77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+6.47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16.46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16.56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18.07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+1.51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9.12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26.09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27.43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+1.34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5.14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27.38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35.71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+8.33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12.16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สุขศึกษา และพลศึกษา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56.21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51.00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-5.21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9.27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ศิลปะ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25.30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36.83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+11.53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45.57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41.38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44.63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tabs>
                <w:tab w:val="center" w:pos="412"/>
                <w:tab w:val="right" w:pos="825"/>
              </w:tabs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ab/>
              <w:t>+3.25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7.85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dotted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18.69</w:t>
            </w:r>
          </w:p>
        </w:tc>
        <w:tc>
          <w:tcPr>
            <w:tcW w:w="1068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17.74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41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-0.95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5.08</w:t>
            </w:r>
          </w:p>
        </w:tc>
      </w:tr>
      <w:tr w:rsidR="004A6E88" w:rsidRPr="001B28EE" w:rsidTr="00D16CA9">
        <w:trPr>
          <w:trHeight w:val="1"/>
        </w:trPr>
        <w:tc>
          <w:tcPr>
            <w:tcW w:w="3078" w:type="dxa"/>
            <w:tcBorders>
              <w:top w:val="single" w:sz="4" w:space="0" w:color="000000"/>
              <w:bottom w:val="single" w:sz="8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B28E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+3.28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A6E88" w:rsidRPr="001B28EE" w:rsidRDefault="004A6E88" w:rsidP="00D16CA9">
            <w:pPr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000000" w:fill="BFBFBF"/>
          </w:tcPr>
          <w:p w:rsidR="004A6E88" w:rsidRPr="001B28EE" w:rsidRDefault="004A6E88" w:rsidP="00D16CA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1B28EE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-</w:t>
            </w:r>
          </w:p>
        </w:tc>
      </w:tr>
    </w:tbl>
    <w:p w:rsidR="004A6E88" w:rsidRPr="001B28EE" w:rsidRDefault="004A6E88" w:rsidP="004A6E88">
      <w:pPr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4A6E88" w:rsidRPr="001B28EE" w:rsidRDefault="004A6E88" w:rsidP="004A6E88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B28EE">
        <w:rPr>
          <w:rFonts w:asciiTheme="majorBidi" w:hAnsiTheme="majorBidi" w:cstheme="majorBidi"/>
          <w:sz w:val="32"/>
          <w:szCs w:val="32"/>
        </w:rPr>
        <w:tab/>
      </w:r>
      <w:r w:rsidRPr="001B28EE">
        <w:rPr>
          <w:rFonts w:asciiTheme="majorBidi" w:hAnsiTheme="majorBidi" w:cstheme="majorBidi"/>
          <w:sz w:val="32"/>
          <w:szCs w:val="32"/>
          <w:cs/>
        </w:rPr>
        <w:t>พบว่า  ผลการเปรียบเทียบคะแนนการทดสอบระดับชาติ (</w:t>
      </w:r>
      <w:r w:rsidRPr="001B28EE">
        <w:rPr>
          <w:rFonts w:asciiTheme="majorBidi" w:hAnsiTheme="majorBidi" w:cstheme="majorBidi"/>
          <w:sz w:val="32"/>
          <w:szCs w:val="32"/>
        </w:rPr>
        <w:t xml:space="preserve">O-NET) </w:t>
      </w:r>
      <w:r w:rsidRPr="001B28EE">
        <w:rPr>
          <w:rFonts w:asciiTheme="majorBidi" w:hAnsiTheme="majorBidi" w:cstheme="majorBidi"/>
          <w:sz w:val="32"/>
          <w:szCs w:val="32"/>
          <w:cs/>
        </w:rPr>
        <w:t>ชั้นมัธยมศึกษาปีที่ 6 เปรียบเทียบระหว่างปีการศึกษา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6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และ ปีการศึกษา 255</w:t>
      </w:r>
      <w:r w:rsidRPr="001B28EE">
        <w:rPr>
          <w:rFonts w:asciiTheme="majorBidi" w:hAnsiTheme="majorBidi" w:cstheme="majorBidi"/>
          <w:sz w:val="32"/>
          <w:szCs w:val="32"/>
        </w:rPr>
        <w:t>7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โดยรวม</w:t>
      </w:r>
      <w:r w:rsidRPr="001B28EE">
        <w:rPr>
          <w:rFonts w:asciiTheme="majorBidi" w:hAnsiTheme="majorBidi" w:cstheme="majorBidi"/>
          <w:sz w:val="32"/>
          <w:szCs w:val="32"/>
        </w:rPr>
        <w:t xml:space="preserve"> 8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กลุ่มสาระเพิ่มขึ้น 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3.28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กลุ่มสาระการเรียนรู้ที่มีระดับผลคะแนนเพิ่มขึ้น </w:t>
      </w:r>
      <w:r w:rsidRPr="001B28EE">
        <w:rPr>
          <w:rFonts w:asciiTheme="majorBidi" w:hAnsiTheme="majorBidi" w:cstheme="majorBidi"/>
          <w:sz w:val="32"/>
          <w:szCs w:val="32"/>
        </w:rPr>
        <w:t xml:space="preserve">6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 มากที่สุด คือ กลุ่มสาระการเรียนรู้ศิลปะ 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45.57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รองลงมาคือ กลุ่มสาระการเรียนรู้ภาษาไทย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>16.46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กลุ่มสาระการเรียนรู้สังคมศึกษา ศาสนาและวัฒนธรรม 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12.16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9.12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กลุ่มสาระการเรียนรู้การงานอาชีพและเทคโนโลยี 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7.85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และกลุ่มสาระการเรียนรู้วิทยาศาสตร์ 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 xml:space="preserve">5.14 </w:t>
      </w:r>
      <w:r w:rsidRPr="001B28EE">
        <w:rPr>
          <w:rFonts w:asciiTheme="majorBidi" w:hAnsiTheme="majorBidi" w:cstheme="majorBidi"/>
          <w:sz w:val="32"/>
          <w:szCs w:val="32"/>
          <w:cs/>
        </w:rPr>
        <w:t>โดยกลุ่มสาระการเรียนรู้ศิลปะ มีค่าเฉลี่ยสูงกว่าค่าเฉลี่ยระดับประเทศ (</w:t>
      </w:r>
      <w:r w:rsidRPr="001B28EE">
        <w:rPr>
          <w:rFonts w:asciiTheme="majorBidi" w:hAnsiTheme="majorBidi" w:cstheme="majorBidi"/>
          <w:sz w:val="32"/>
          <w:szCs w:val="32"/>
        </w:rPr>
        <w:t xml:space="preserve">34.64/36.83) 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1B28EE">
        <w:rPr>
          <w:rFonts w:asciiTheme="majorBidi" w:hAnsiTheme="majorBidi" w:cstheme="majorBidi"/>
          <w:sz w:val="32"/>
          <w:szCs w:val="32"/>
        </w:rPr>
        <w:t>45.57</w:t>
      </w:r>
      <w:r w:rsidRPr="001B28E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56BE5" w:rsidRDefault="004A6E88"/>
    <w:sectPr w:rsidR="00456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A6E88"/>
    <w:rsid w:val="004A6E88"/>
    <w:rsid w:val="00D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CafeThai</dc:creator>
  <cp:lastModifiedBy>CafeThai</cp:lastModifiedBy>
  <cp:revision>1</cp:revision>
  <dcterms:created xsi:type="dcterms:W3CDTF">2015-04-06T05:56:00Z</dcterms:created>
  <dcterms:modified xsi:type="dcterms:W3CDTF">2015-04-06T05:56:00Z</dcterms:modified>
</cp:coreProperties>
</file>