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B7E50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69AE9563" w14:textId="703707F1" w:rsidR="005C6A41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2032BF" w:rsidRPr="002032BF">
        <w:rPr>
          <w:rFonts w:ascii="TH SarabunPSK" w:hAnsi="TH SarabunPSK" w:cs="TH SarabunPSK"/>
          <w:b/>
          <w:bCs/>
          <w:sz w:val="40"/>
          <w:szCs w:val="40"/>
          <w:cs/>
        </w:rPr>
        <w:t>2.4 : พัฒนาครูและบุคลากรให้มีความเชี่ยวชาญทางวิชาชีพ</w:t>
      </w:r>
    </w:p>
    <w:p w14:paraId="3A55A9CB" w14:textId="77777777" w:rsidR="002032BF" w:rsidRDefault="002032B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F49916" w14:textId="77777777" w:rsidR="002032BF" w:rsidRPr="005C6A41" w:rsidRDefault="002032B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7A134" w14:textId="5F43A39F" w:rsidR="00672E10" w:rsidRDefault="00AB10DB" w:rsidP="00672E1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>สถานศึกษาส่งเสริม สนับสนุน พัฒนาบุคลากรครูให้มีความเชี่ยวชาญทางวิชา</w:t>
      </w:r>
      <w:r w:rsidR="002032BF" w:rsidRPr="000E7B0B">
        <w:rPr>
          <w:rFonts w:ascii="TH SarabunPSK" w:hAnsi="TH SarabunPSK" w:cs="TH SarabunPSK" w:hint="cs"/>
          <w:sz w:val="32"/>
          <w:szCs w:val="32"/>
          <w:cs/>
        </w:rPr>
        <w:t xml:space="preserve">ชีพ 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>และจัดใ</w:t>
      </w:r>
      <w:r w:rsidR="002032BF" w:rsidRPr="000E7B0B">
        <w:rPr>
          <w:rFonts w:ascii="TH SarabunPSK" w:hAnsi="TH SarabunPSK" w:cs="TH SarabunPSK" w:hint="cs"/>
          <w:sz w:val="32"/>
          <w:szCs w:val="32"/>
          <w:cs/>
        </w:rPr>
        <w:t>ห้มีชุมชน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>การเรียนรู้ทางวิชาชีพ มาใช้ในการพัฒนางานและการเรียนรู้ของผู้เรียน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2102E16A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2032BF" w:rsidRPr="000E7B0B">
        <w:rPr>
          <w:rFonts w:ascii="TH SarabunPSK" w:hAnsi="TH SarabunPSK" w:cs="TH SarabunPSK"/>
          <w:sz w:val="32"/>
          <w:szCs w:val="32"/>
        </w:rPr>
        <w:t>80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 xml:space="preserve"> ของครูมีการจัดการอบรม และได้เข้ารับการพัฒนาตนเองด้านการจัดกระบวนการ</w:t>
      </w:r>
      <w:r w:rsidR="002032BF" w:rsidRPr="000E7B0B">
        <w:rPr>
          <w:rFonts w:ascii="TH SarabunPSK" w:hAnsi="TH SarabunPSK" w:cs="TH SarabunPSK" w:hint="cs"/>
          <w:sz w:val="32"/>
          <w:szCs w:val="32"/>
          <w:cs/>
        </w:rPr>
        <w:t>สอนอย่าง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 xml:space="preserve">น้อย </w:t>
      </w:r>
      <w:r w:rsidR="002032BF" w:rsidRPr="000E7B0B">
        <w:rPr>
          <w:rFonts w:ascii="TH SarabunPSK" w:hAnsi="TH SarabunPSK" w:cs="TH SarabunPSK"/>
          <w:sz w:val="32"/>
          <w:szCs w:val="32"/>
        </w:rPr>
        <w:t>20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="002032BF" w:rsidRPr="000E7B0B">
        <w:rPr>
          <w:rFonts w:ascii="TH SarabunPSK" w:hAnsi="TH SarabunPSK" w:cs="TH SarabunPSK" w:hint="cs"/>
          <w:sz w:val="32"/>
          <w:szCs w:val="32"/>
          <w:cs/>
        </w:rPr>
        <w:t>ปี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>การศึกษา (สถ</w:t>
      </w:r>
      <w:r w:rsidR="002032BF" w:rsidRPr="000E7B0B">
        <w:rPr>
          <w:rFonts w:ascii="TH SarabunPSK" w:hAnsi="TH SarabunPSK" w:cs="TH SarabunPSK" w:hint="cs"/>
          <w:sz w:val="32"/>
          <w:szCs w:val="32"/>
          <w:cs/>
        </w:rPr>
        <w:t>า</w:t>
      </w:r>
      <w:r w:rsidR="002032BF" w:rsidRPr="000E7B0B">
        <w:rPr>
          <w:rFonts w:ascii="TH SarabunPSK" w:hAnsi="TH SarabunPSK" w:cs="TH SarabunPSK"/>
          <w:sz w:val="32"/>
          <w:szCs w:val="32"/>
          <w:cs/>
        </w:rPr>
        <w:t>นศึกษาส่งเสริม สนับสนุน พัฒนาบุคลากรครูให้มีความ</w:t>
      </w:r>
      <w:r w:rsidR="002032BF" w:rsidRPr="000E7B0B">
        <w:rPr>
          <w:rFonts w:ascii="TH SarabunPSK" w:hAnsi="TH SarabunPSK" w:cs="TH SarabunPSK" w:hint="cs"/>
          <w:sz w:val="32"/>
          <w:szCs w:val="32"/>
          <w:cs/>
        </w:rPr>
        <w:t>เชี่ยวชาญทางวิชาชีพ)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21ED8C" w14:textId="77777777" w:rsidR="002E3879" w:rsidRDefault="002E3879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4F015FF4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CE10D5B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63B047A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B4A6014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3EE88DC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E8BD647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A990B9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4D9A2FF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DEFF4C0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5AC784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F98EAE1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3D94E099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17C083B" w14:textId="0DBA3040" w:rsidR="002032BF" w:rsidRPr="000E7B0B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Pr="000E7B0B">
        <w:rPr>
          <w:rFonts w:ascii="TH SarabunPSK" w:hAnsi="TH SarabunPSK" w:cs="TH SarabunPSK"/>
          <w:sz w:val="32"/>
          <w:szCs w:val="32"/>
        </w:rPr>
        <w:t xml:space="preserve">2. 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ร้อ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ของครูและบุคลากรทางการศึกษาผ่านการปฏิบัติงาน/ได้รับการอบรมพัฒนาวิชาชีพระ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ดับดีขึ้น</w:t>
      </w:r>
    </w:p>
    <w:p w14:paraId="1E54ADF5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A24069" w14:textId="77777777" w:rsidR="002032BF" w:rsidRPr="002E2394" w:rsidRDefault="002032BF" w:rsidP="002032BF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88DBCA9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16B733" w14:textId="77777777" w:rsidR="002032BF" w:rsidRPr="00C1472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2F7ECF4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EE1E58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2E472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96B787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AF9E91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06EF79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1DEB9F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E50555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0A79A1" w14:textId="77777777" w:rsidR="002032BF" w:rsidRPr="00F10F57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37E8D09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97B035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FE2A8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B7152E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B470D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95A7806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EBB3854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6CA03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4A620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1A055E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0D50B3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DD9036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AF22F66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13658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772831" w14:textId="77777777" w:rsidR="002E3879" w:rsidRDefault="002E3879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1FCF891" w14:textId="77777777" w:rsidR="002E3879" w:rsidRDefault="002E3879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C60E70" w14:textId="77777777" w:rsidR="002E3879" w:rsidRDefault="002E3879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5EA317" w14:textId="40D8C338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A36A05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C27124A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F57DDF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EA9773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C0DC88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D951BB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21446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49281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C93AE95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689D54C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96D04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682ACA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3E566F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86AC00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816760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CA7035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A39A3F0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AB2D9DE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2873CFE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1703799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80C2A0B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8DBFFD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83FAEEF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73A6C43" w14:textId="77777777" w:rsidR="00B81E25" w:rsidRDefault="00B81E2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94EA79E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B65CBDB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80BBEF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02BF52E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ED84D8F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C8DCC40" w14:textId="77777777" w:rsidR="002E3879" w:rsidRDefault="002E3879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027F964D" w14:textId="45EBA577" w:rsidR="002032BF" w:rsidRPr="000E7B0B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Pr="000E7B0B">
        <w:rPr>
          <w:rFonts w:ascii="TH SarabunPSK" w:hAnsi="TH SarabunPSK" w:cs="TH SarabunPSK"/>
          <w:sz w:val="32"/>
          <w:szCs w:val="32"/>
        </w:rPr>
        <w:t xml:space="preserve">3. </w:t>
      </w:r>
      <w:r w:rsidRPr="000E7B0B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ครูและบุคลากรทางการศึกษาสนับสนุนการสอนได้รับการอบรมตรง/สอดคล้องกับหน้าที่ปฏิบัติงานอย่างน้อย</w:t>
      </w:r>
      <w:r w:rsidRPr="000E7B0B">
        <w:rPr>
          <w:rFonts w:ascii="TH SarabunPSK" w:hAnsi="TH SarabunPSK" w:cs="TH SarabunPSK"/>
          <w:sz w:val="32"/>
          <w:szCs w:val="32"/>
        </w:rPr>
        <w:t xml:space="preserve"> 20 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0E7B0B">
        <w:rPr>
          <w:rFonts w:ascii="TH SarabunPSK" w:hAnsi="TH SarabunPSK" w:cs="TH SarabunPSK"/>
          <w:sz w:val="32"/>
          <w:szCs w:val="32"/>
        </w:rPr>
        <w:t>/</w:t>
      </w:r>
      <w:r w:rsidRPr="000E7B0B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p w14:paraId="73B5C8EF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EA652D" w14:textId="77777777" w:rsidR="002032BF" w:rsidRPr="002E2394" w:rsidRDefault="002032BF" w:rsidP="002032BF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E382C90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5AFE8D4" w14:textId="77777777" w:rsidR="002032BF" w:rsidRPr="00C1472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883FC5B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52C43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FF44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BA73C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F941A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57CC99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51073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08F7A29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4E7046" w14:textId="77777777" w:rsidR="002032BF" w:rsidRPr="00F10F57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0B36378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FCE08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3E748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08746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71ADE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7E830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74745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A0D3B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E6518C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9D32155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B27992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0EE98A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C63048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DB0876D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AA02AA" w14:textId="77777777" w:rsidR="002E3879" w:rsidRDefault="002E3879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04CA0B" w14:textId="77777777" w:rsidR="002E3879" w:rsidRDefault="002E3879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02F4964" w14:textId="77777777" w:rsidR="002E3879" w:rsidRDefault="002E3879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8485424" w14:textId="1BC7EF2D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D0A026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9CBF0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5A2945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0EE03DA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616761F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BE5861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5173BB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D19563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5CE99C" w14:textId="77777777" w:rsidR="002032BF" w:rsidRPr="00E833B2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107AB5B4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E997E6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93F2BD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D42004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BDD0DE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306722C2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7C762EF1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81231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D8AADA0" w14:textId="77777777" w:rsidR="00392517" w:rsidRDefault="00392517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54B9DE68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2338DC" w:rsidRPr="002338DC">
        <w:rPr>
          <w:rFonts w:ascii="TH SarabunPSK" w:hAnsi="TH SarabunPSK" w:cs="TH SarabunPSK"/>
          <w:b/>
          <w:bCs/>
          <w:sz w:val="40"/>
          <w:szCs w:val="40"/>
          <w:cs/>
        </w:rPr>
        <w:t>2.4 : พัฒนาครูและบุคลากรให้มีความเชี่ยวชาญทางวิชาชีพ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F2303"/>
    <w:rsid w:val="002032BF"/>
    <w:rsid w:val="002338DC"/>
    <w:rsid w:val="00243B1C"/>
    <w:rsid w:val="0028629D"/>
    <w:rsid w:val="002E2394"/>
    <w:rsid w:val="002E3879"/>
    <w:rsid w:val="00363AA5"/>
    <w:rsid w:val="00392517"/>
    <w:rsid w:val="004015EB"/>
    <w:rsid w:val="004272E0"/>
    <w:rsid w:val="00515B5D"/>
    <w:rsid w:val="005767E2"/>
    <w:rsid w:val="005C6A41"/>
    <w:rsid w:val="005F4E9D"/>
    <w:rsid w:val="00655A1F"/>
    <w:rsid w:val="00672E10"/>
    <w:rsid w:val="006A514C"/>
    <w:rsid w:val="006F27C8"/>
    <w:rsid w:val="00737CDE"/>
    <w:rsid w:val="00794B4C"/>
    <w:rsid w:val="007F3F05"/>
    <w:rsid w:val="008244F7"/>
    <w:rsid w:val="00835325"/>
    <w:rsid w:val="00840BBE"/>
    <w:rsid w:val="008428B1"/>
    <w:rsid w:val="00894807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862FB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2025-03-24T07:40:00Z</cp:lastPrinted>
  <dcterms:created xsi:type="dcterms:W3CDTF">2025-03-21T14:40:00Z</dcterms:created>
  <dcterms:modified xsi:type="dcterms:W3CDTF">2025-03-24T07:40:00Z</dcterms:modified>
</cp:coreProperties>
</file>